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BIZTONSÁGI ADATLAP  </w:t>
      </w:r>
    </w:p>
    <w:p>
      <w:pPr>
        <w:pStyle w:val="style0"/>
      </w:pPr>
      <w:bookmarkStart w:id="0" w:name="__DdeLink__1559_709297011"/>
      <w:bookmarkEnd w:id="0"/>
      <w:r>
        <w:rPr/>
        <w:t>SUPER SLICK'EM</w:t>
      </w:r>
    </w:p>
    <w:p>
      <w:pPr>
        <w:pStyle w:val="style0"/>
      </w:pPr>
      <w:r>
        <w:rPr/>
        <w:t xml:space="preserve"> </w:t>
      </w:r>
      <w:r>
        <w:rPr/>
        <w:t>1 . oldal</w:t>
      </w:r>
    </w:p>
    <w:p>
      <w:pPr>
        <w:pStyle w:val="style0"/>
      </w:pPr>
      <w:r>
        <w:rPr/>
        <w:t xml:space="preserve">Módosítási szám : 1 </w:t>
      </w:r>
    </w:p>
    <w:p>
      <w:pPr>
        <w:pStyle w:val="style0"/>
      </w:pPr>
      <w:r>
        <w:rPr/>
        <w:t xml:space="preserve">Dátum : 22/4/2008 </w:t>
      </w:r>
    </w:p>
    <w:p>
      <w:pPr>
        <w:pStyle w:val="style0"/>
      </w:pPr>
      <w:r>
        <w:rPr/>
        <w:t xml:space="preserve">Hatályát veszti : 0/0/0         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1. ANYAG/TERMÉK ÉS A VÁLLALAT/VÁLLALKOZÁS  MEGHATÁROZÁSA </w:t>
      </w:r>
    </w:p>
    <w:p>
      <w:pPr>
        <w:pStyle w:val="style0"/>
      </w:pPr>
      <w:r>
        <w:rPr/>
        <w:t xml:space="preserve">Kereskedelmi terméknév : SUPER SLICK'EM </w:t>
      </w:r>
    </w:p>
    <w:p>
      <w:pPr>
        <w:pStyle w:val="style0"/>
      </w:pPr>
      <w:r>
        <w:rPr/>
        <w:t>Anyag/termék használata : Kenőanyag, szerelőolaj</w:t>
      </w:r>
    </w:p>
    <w:p>
      <w:pPr>
        <w:pStyle w:val="style0"/>
      </w:pPr>
      <w:r>
        <w:rPr/>
        <w:t xml:space="preserve">Vállalat : Gaither Europe BV </w:t>
      </w:r>
    </w:p>
    <w:p>
      <w:pPr>
        <w:pStyle w:val="style0"/>
      </w:pPr>
      <w:r>
        <w:rPr/>
        <w:t xml:space="preserve">Vijfhuizenweg 167 </w:t>
      </w:r>
    </w:p>
    <w:p>
      <w:pPr>
        <w:pStyle w:val="style0"/>
      </w:pPr>
      <w:r>
        <w:rPr/>
        <w:t xml:space="preserve">4708 AJ Roosendaal </w:t>
      </w:r>
    </w:p>
    <w:p>
      <w:pPr>
        <w:pStyle w:val="style0"/>
      </w:pPr>
      <w:r>
        <w:rPr/>
        <w:t xml:space="preserve">Nederland </w:t>
      </w:r>
    </w:p>
    <w:p>
      <w:pPr>
        <w:pStyle w:val="style0"/>
      </w:pPr>
      <w:r>
        <w:rPr/>
        <w:t xml:space="preserve">Tel: +31 165 554475 </w:t>
      </w:r>
    </w:p>
    <w:p>
      <w:pPr>
        <w:pStyle w:val="style0"/>
      </w:pPr>
      <w:r>
        <w:rPr/>
        <w:t xml:space="preserve">Fax:+31 165 568691 </w:t>
      </w:r>
    </w:p>
    <w:p>
      <w:pPr>
        <w:pStyle w:val="style0"/>
      </w:pPr>
      <w:r>
        <w:rPr/>
        <w:t xml:space="preserve">E-mail: gaither.europe.bv@worldonline.nl </w:t>
      </w:r>
    </w:p>
    <w:p>
      <w:pPr>
        <w:pStyle w:val="style0"/>
      </w:pPr>
      <w:r>
        <w:rPr/>
        <w:t xml:space="preserve">Rendkívüli esetekre telefonszám: +31 165 554475 Hétfő-Péntek (8.30 - 17.00)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2 VESZÉLYESSÉGI MEGHATÁROZÁS </w:t>
      </w:r>
    </w:p>
    <w:p>
      <w:pPr>
        <w:pStyle w:val="style0"/>
      </w:pPr>
      <w:r>
        <w:rPr/>
        <w:t>Legfontosabb veszélyforrások : A termék nem veszélyes az 1999/45/EC Irányelv értelmében</w:t>
      </w:r>
    </w:p>
    <w:p>
      <w:pPr>
        <w:pStyle w:val="style0"/>
      </w:pPr>
      <w:r>
        <w:rPr/>
        <w:t>Környezetvédelmi jellemző : Nem veszélyes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3 ÖSSZETÉTEL/ALAPANYAGOK MEGHATÁROZÁSA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Anyag neve                   Értékek       CAS Szám / EC Szám / EC Index         Jelzések         R-Mondatok </w:t>
      </w:r>
    </w:p>
    <w:p>
      <w:pPr>
        <w:pStyle w:val="style0"/>
      </w:pPr>
      <w:r>
        <w:rPr/>
        <w:t>Szójabab olaj :                &gt; 85 %           8001-22-7 / 232-274-4 / --</w:t>
      </w:r>
    </w:p>
    <w:p>
      <w:pPr>
        <w:pStyle w:val="style0"/>
      </w:pPr>
      <w:r>
        <w:rPr/>
        <w:t>Narancs, édes kivonat : &gt; 5 %            8028-48-6 / 232-433-8 / --</w:t>
      </w:r>
    </w:p>
    <w:p>
      <w:pPr>
        <w:pStyle w:val="style0"/>
      </w:pPr>
      <w:r>
        <w:rPr/>
        <w:t>Grafit :                              &lt; 5 %            7782-42-5 / 231-955-3 / --</w:t>
      </w:r>
    </w:p>
    <w:p>
      <w:pPr>
        <w:pStyle w:val="style0"/>
      </w:pPr>
      <w:r>
        <w:rPr/>
        <w:t>R-Mondatok teljes szövege :  Lsd 16. rész</w:t>
      </w:r>
    </w:p>
    <w:p>
      <w:pPr>
        <w:pStyle w:val="style0"/>
      </w:pPr>
      <w:r>
        <w:rPr/>
      </w:r>
    </w:p>
    <w:p>
      <w:pPr>
        <w:pStyle w:val="style0"/>
      </w:pPr>
      <w:r>
        <w:rPr/>
        <w:t>4. ELSŐSEGÉLY INTÉZKEDÉSEK</w:t>
      </w:r>
    </w:p>
    <w:p>
      <w:pPr>
        <w:pStyle w:val="style0"/>
      </w:pPr>
      <w:r>
        <w:rPr/>
        <w:t>Elsősegély intézkedések</w:t>
      </w:r>
    </w:p>
    <w:p>
      <w:pPr>
        <w:pStyle w:val="style0"/>
      </w:pPr>
      <w:r>
        <w:rPr/>
        <w:t xml:space="preserve">Lélegzés : Feküdjön le, menjen friss levegőre </w:t>
      </w:r>
    </w:p>
    <w:p>
      <w:pPr>
        <w:pStyle w:val="style0"/>
      </w:pPr>
      <w:r>
        <w:rPr/>
        <w:t>Bőrrel való kapcsolat : Azonnal mossa le szappannal és sok vízzel.</w:t>
      </w:r>
    </w:p>
    <w:p>
      <w:pPr>
        <w:pStyle w:val="style0"/>
      </w:pPr>
      <w:r>
        <w:rPr/>
        <w:t>A szennyezett ruhát és cipőt azonnal vegye le.</w:t>
      </w:r>
    </w:p>
    <w:p>
      <w:pPr>
        <w:pStyle w:val="style0"/>
      </w:pPr>
      <w:r>
        <w:rPr/>
        <w:t>Szennyezett ruhát mossa ki, mielőtt ismét használná.</w:t>
      </w:r>
    </w:p>
    <w:p>
      <w:pPr>
        <w:pStyle w:val="style0"/>
      </w:pPr>
      <w:r>
        <w:rPr/>
        <w:t xml:space="preserve">Ha szembe kerül : Sok vízzel azonnal öblítse ki. </w:t>
      </w:r>
    </w:p>
    <w:p>
      <w:pPr>
        <w:pStyle w:val="style0"/>
      </w:pPr>
      <w:r>
        <w:rPr/>
        <w:t xml:space="preserve">Anyag lenyelése : Ne hánytasson. </w:t>
      </w:r>
    </w:p>
    <w:p>
      <w:pPr>
        <w:pStyle w:val="style0"/>
      </w:pPr>
      <w:r>
        <w:rPr/>
        <w:t xml:space="preserve">További tanács : Eszméletlen embernek soha semmit ne tegyünk a szájába. </w:t>
      </w:r>
    </w:p>
    <w:p>
      <w:pPr>
        <w:pStyle w:val="style0"/>
      </w:pPr>
      <w:r>
        <w:rPr/>
        <w:t>Konzultájon orvossal, ha szükséges.</w:t>
      </w:r>
    </w:p>
    <w:p>
      <w:pPr>
        <w:pStyle w:val="style0"/>
      </w:pPr>
      <w:r>
        <w:rPr/>
        <w:t>Kezelje a tüneteknek megfelelően.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5. Tűzoltási intézkedések </w:t>
      </w:r>
    </w:p>
    <w:p>
      <w:pPr>
        <w:pStyle w:val="style0"/>
      </w:pPr>
      <w:r>
        <w:rPr/>
        <w:t xml:space="preserve">Megfelelő oltási anyag : Használjon száraz vegyszert,  CO2-t, víz spray-t vagy  alkoholnak ellenálló habot. </w:t>
      </w:r>
    </w:p>
    <w:p>
      <w:pPr>
        <w:pStyle w:val="style0"/>
      </w:pPr>
      <w:r>
        <w:rPr/>
      </w:r>
    </w:p>
    <w:p>
      <w:pPr>
        <w:pStyle w:val="style0"/>
      </w:pPr>
      <w:r>
        <w:rPr/>
        <w:t>Tűzoltókészülék, amely biztonsági okokból nem használható : Nagynyomású vízsugár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Adott veszélyhelyzetben  : Személyzet biztonságos helyen tartózkodjon </w:t>
      </w:r>
    </w:p>
    <w:p>
      <w:pPr>
        <w:pStyle w:val="style0"/>
      </w:pPr>
      <w:r>
        <w:rPr/>
        <w:t xml:space="preserve">                                                </w:t>
      </w:r>
      <w:r>
        <w:rPr/>
        <w:t xml:space="preserve">Tartóedényeket/tárolókat hűtse le vízsugárral. </w:t>
      </w:r>
    </w:p>
    <w:p>
      <w:pPr>
        <w:pStyle w:val="style0"/>
      </w:pPr>
      <w:r>
        <w:rPr/>
        <w:t xml:space="preserve">                                                </w:t>
      </w:r>
      <w:r>
        <w:rPr/>
        <w:t xml:space="preserve">Lehetséges hátramaradó anyagok, bomlástermékek: - </w:t>
      </w:r>
    </w:p>
    <w:p>
      <w:pPr>
        <w:pStyle w:val="style0"/>
      </w:pPr>
      <w:r>
        <w:rPr/>
        <w:t xml:space="preserve">                                                </w:t>
      </w:r>
      <w:r>
        <w:rPr/>
        <w:t>Tűz után visszamaradt anyagokkal, és tűzoltásra használt vízzel a helyi    szabályoknak megfelelően kell eljárni</w:t>
        <w:br/>
        <w:t xml:space="preserve">                                               </w:t>
      </w:r>
    </w:p>
    <w:p>
      <w:pPr>
        <w:pStyle w:val="style0"/>
      </w:pPr>
      <w:r>
        <w:rPr/>
        <w:t xml:space="preserve">Speciális felszerelés tűzoltóknak : Személyt védő felszerelés  </w:t>
      </w:r>
    </w:p>
    <w:p>
      <w:pPr>
        <w:pStyle w:val="style0"/>
      </w:pPr>
      <w:r>
        <w:rPr/>
        <w:t xml:space="preserve">                                                            </w:t>
      </w:r>
      <w:r>
        <w:rPr/>
        <w:t xml:space="preserve">Tűzoltásnál, ha szükséges, zárt lélegzőkészülék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BIZTONSÁGI ADATLAP  2 . oldal</w:t>
      </w:r>
    </w:p>
    <w:p>
      <w:pPr>
        <w:pStyle w:val="style0"/>
      </w:pPr>
      <w:r>
        <w:rPr/>
        <w:t xml:space="preserve">Módosítási szám : 1 </w:t>
      </w:r>
    </w:p>
    <w:p>
      <w:pPr>
        <w:pStyle w:val="style0"/>
      </w:pPr>
      <w:r>
        <w:rPr/>
        <w:t xml:space="preserve">Dátum : 22/4/2008 </w:t>
      </w:r>
    </w:p>
    <w:p>
      <w:pPr>
        <w:pStyle w:val="style0"/>
      </w:pPr>
      <w:r>
        <w:rPr/>
        <w:t xml:space="preserve">Hatályát veszti : 0/0/0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6. BALESETI MENTESÍTÉSI INTÉZKEDÉSEK  </w:t>
      </w:r>
    </w:p>
    <w:p>
      <w:pPr>
        <w:pStyle w:val="style0"/>
      </w:pPr>
      <w:r>
        <w:rPr/>
        <w:t>Személyi elővigyázatossági intézkedések: Lsd. 8. rész</w:t>
      </w:r>
    </w:p>
    <w:p>
      <w:pPr>
        <w:pStyle w:val="style0"/>
      </w:pPr>
      <w:r>
        <w:rPr/>
        <w:t xml:space="preserve">                                                                           </w:t>
      </w:r>
      <w:r>
        <w:rPr/>
        <w:t>Viseljen személyi védelmi felszerelést</w:t>
      </w:r>
    </w:p>
    <w:p>
      <w:pPr>
        <w:pStyle w:val="style0"/>
      </w:pPr>
      <w:r>
        <w:rPr/>
        <w:t xml:space="preserve">                                                                           </w:t>
      </w:r>
      <w:r>
        <w:rPr/>
        <w:t xml:space="preserve">Kezelje az anyagot a jó ipari higiéniai és biztonsági gyakorlatnak megfelelően </w:t>
      </w:r>
    </w:p>
    <w:p>
      <w:pPr>
        <w:pStyle w:val="style0"/>
      </w:pPr>
      <w:r>
        <w:rPr/>
        <w:t xml:space="preserve">                                                                           </w:t>
      </w:r>
      <w:r>
        <w:rPr/>
        <w:t>Gondoskodjon megfelelő szellőztetésről.</w:t>
      </w:r>
    </w:p>
    <w:p>
      <w:pPr>
        <w:pStyle w:val="style0"/>
      </w:pPr>
      <w:r>
        <w:rPr/>
      </w:r>
    </w:p>
    <w:p>
      <w:pPr>
        <w:pStyle w:val="style0"/>
      </w:pPr>
      <w:r>
        <w:rPr/>
        <w:t>Környezetvédelmi elővigyázatosság: Akadályozzuk meg, hogy az anyag bekerüljön a szennyvízrendszerbe</w:t>
      </w:r>
    </w:p>
    <w:p>
      <w:pPr>
        <w:pStyle w:val="style0"/>
      </w:pPr>
      <w:r>
        <w:rPr/>
        <w:t>Mentesítési módszerek: Akadályozzuk meg a további kiömlést, ha ezt biztonságosan meg tudjuk tenni.</w:t>
      </w:r>
    </w:p>
    <w:p>
      <w:pPr>
        <w:pStyle w:val="style0"/>
      </w:pPr>
      <w:r>
        <w:rPr/>
        <w:t xml:space="preserve">                                            </w:t>
      </w:r>
      <w:r>
        <w:rPr/>
        <w:t>Határoljuk el az anyagot a környezetétől.</w:t>
      </w:r>
    </w:p>
    <w:p>
      <w:pPr>
        <w:pStyle w:val="style0"/>
      </w:pPr>
      <w:r>
        <w:rPr/>
        <w:t xml:space="preserve">Itassuk fel semleges abszorbens anyaggal (pl. homok, szilika gél, savas kötőanyag, acid binder, általános kötőanyag, fűrészpor). </w:t>
      </w:r>
    </w:p>
    <w:p>
      <w:pPr>
        <w:pStyle w:val="style0"/>
      </w:pPr>
      <w:r>
        <w:rPr/>
        <w:t xml:space="preserve">Söpörjük és lapátoljuk megfelelő tárolóeszközbe mentesítés céljából. </w:t>
      </w:r>
    </w:p>
    <w:p>
      <w:pPr>
        <w:pStyle w:val="style0"/>
      </w:pPr>
      <w:r>
        <w:rPr/>
        <w:t xml:space="preserve">Takarítást követően vízzel mossuk le a megmaradó nyomokat. </w:t>
      </w:r>
    </w:p>
    <w:p>
      <w:pPr>
        <w:pStyle w:val="style0"/>
      </w:pPr>
      <w:r>
        <w:rPr/>
        <w:t xml:space="preserve">Szabaduljunk meg az anyagtól a helyi rendelkezéseknek megfelelően.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7. KEZELÉS ÉS TÁROLÁS  </w:t>
      </w:r>
    </w:p>
    <w:p>
      <w:pPr>
        <w:pStyle w:val="style0"/>
      </w:pPr>
      <w:r>
        <w:rPr/>
        <w:t xml:space="preserve">Tárolás : Tároljuk szorosan zárva száraz, hűvös, jól szellőztetett helyen. </w:t>
      </w:r>
    </w:p>
    <w:p>
      <w:pPr>
        <w:pStyle w:val="style0"/>
      </w:pPr>
      <w:r>
        <w:rPr/>
        <w:t xml:space="preserve">Ne tároljuk a 10. részben felsorolt nem kompatibilitis manyagok mellett vagy közelében. </w:t>
      </w:r>
    </w:p>
    <w:p>
      <w:pPr>
        <w:pStyle w:val="style0"/>
      </w:pPr>
      <w:r>
        <w:rPr/>
      </w:r>
    </w:p>
    <w:p>
      <w:pPr>
        <w:pStyle w:val="style0"/>
      </w:pPr>
      <w:r>
        <w:rPr/>
        <w:t>Kezelés : Lsd 8. rész</w:t>
      </w:r>
    </w:p>
    <w:p>
      <w:pPr>
        <w:pStyle w:val="style0"/>
      </w:pPr>
      <w:r>
        <w:rPr/>
        <w:t xml:space="preserve">Viseljünk személyi védelmi felszerelést </w:t>
      </w:r>
    </w:p>
    <w:p>
      <w:pPr>
        <w:pStyle w:val="style0"/>
      </w:pPr>
      <w:r>
        <w:rPr/>
        <w:t xml:space="preserve">Kezeljük a jó ipari higiéniai és biztonsági gyakorlatnak megfelelően. </w:t>
      </w:r>
    </w:p>
    <w:p>
      <w:pPr>
        <w:pStyle w:val="style0"/>
      </w:pPr>
      <w:r>
        <w:rPr/>
        <w:t xml:space="preserve">Mossunk kezet szünet előtt, és azonnal az anyaggal való munkavégzést követően. </w:t>
      </w:r>
    </w:p>
    <w:p>
      <w:pPr>
        <w:pStyle w:val="style0"/>
      </w:pPr>
      <w:r>
        <w:rPr/>
        <w:t xml:space="preserve">Gondoskodjunk megfelelő szellőzésről.  </w:t>
      </w:r>
    </w:p>
    <w:p>
      <w:pPr>
        <w:pStyle w:val="style0"/>
      </w:pPr>
      <w:r>
        <w:rPr/>
      </w:r>
    </w:p>
    <w:p>
      <w:pPr>
        <w:pStyle w:val="style0"/>
      </w:pPr>
      <w:r>
        <w:rPr/>
        <w:t>Specifikus használat : kenőanyag</w:t>
      </w:r>
    </w:p>
    <w:p>
      <w:pPr>
        <w:pStyle w:val="style0"/>
      </w:pPr>
      <w:r>
        <w:rPr/>
      </w:r>
    </w:p>
    <w:p>
      <w:pPr>
        <w:pStyle w:val="style0"/>
      </w:pPr>
      <w:r>
        <w:rPr/>
        <w:t>8. ANYAGGAL VALÓ KAPCSOLAT ELLENŐRZÉSE / SZEMÉLYI VÉDELEM</w:t>
      </w:r>
    </w:p>
    <w:p>
      <w:pPr>
        <w:pStyle w:val="style0"/>
      </w:pPr>
      <w:r>
        <w:rPr/>
        <w:t xml:space="preserve">Személyi védelmi felszerelés </w:t>
      </w:r>
    </w:p>
    <w:p>
      <w:pPr>
        <w:pStyle w:val="style0"/>
      </w:pPr>
      <w:r>
        <w:rPr/>
        <w:t>Lélegzési védelem : nem szükséges normál használat mellett</w:t>
      </w:r>
    </w:p>
    <w:p>
      <w:pPr>
        <w:pStyle w:val="style0"/>
      </w:pPr>
      <w:r>
        <w:rPr/>
        <w:t xml:space="preserve">Gondoskodjunk megfelelő szellőzésről. </w:t>
      </w:r>
    </w:p>
    <w:p>
      <w:pPr>
        <w:pStyle w:val="style0"/>
      </w:pPr>
      <w:r>
        <w:rPr/>
        <w:t>Kéz védelme : speciális kesztyű alkalmazása az adott anyaghasználat és időtartam vonatkozásában a munkaterületen, a munkaterület egyéb tényezőit is figyelembe kell venni, mint például (de nem kizárólag) egyéb használt vegyszerek, fizikai követelmények (védelem vágás/fúrás esetében, gyakorlat, hővédelem), valamint a kesztyűhöz tartozó instrukciók/specifikációk.</w:t>
      </w:r>
    </w:p>
    <w:p>
      <w:pPr>
        <w:pStyle w:val="style0"/>
      </w:pPr>
      <w:r>
        <w:rPr/>
        <w:t xml:space="preserve">Szem védelme : védőszemüveg (EN166) </w:t>
      </w:r>
    </w:p>
    <w:p>
      <w:pPr>
        <w:pStyle w:val="style0"/>
      </w:pPr>
      <w:r>
        <w:rPr/>
        <w:t>Higiéniai intézkedések : Kezeljük a jó ipari higiéniai és biztonsági gyakorlatnak megfelelően.</w:t>
      </w:r>
    </w:p>
    <w:p>
      <w:pPr>
        <w:pStyle w:val="style0"/>
      </w:pPr>
      <w:r>
        <w:rPr/>
        <w:t xml:space="preserve">Környezettel való kapcsolat ellenőrzése : Grafit : TLV-TWA (mg/m³) : 2 (Belgium, Franciaország)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9. FIZIKAI ÉS KÉMIAI JELLEMZŐK  </w:t>
      </w:r>
    </w:p>
    <w:p>
      <w:pPr>
        <w:pStyle w:val="style0"/>
      </w:pPr>
      <w:r>
        <w:rPr/>
        <w:t xml:space="preserve">Megjelenés : folyékony </w:t>
      </w:r>
    </w:p>
    <w:p>
      <w:pPr>
        <w:pStyle w:val="style0"/>
      </w:pPr>
      <w:r>
        <w:rPr/>
        <w:t xml:space="preserve">Szín : sötét borostyán  </w:t>
      </w:r>
    </w:p>
    <w:p>
      <w:pPr>
        <w:pStyle w:val="style0"/>
      </w:pPr>
      <w:r>
        <w:rPr/>
        <w:t xml:space="preserve">Illat : aromás </w:t>
      </w:r>
    </w:p>
    <w:p>
      <w:pPr>
        <w:pStyle w:val="style0"/>
      </w:pPr>
      <w:r>
        <w:rPr/>
        <w:t xml:space="preserve">pH : nincs adat </w:t>
      </w:r>
    </w:p>
    <w:p>
      <w:pPr>
        <w:pStyle w:val="style0"/>
      </w:pPr>
      <w:r>
        <w:rPr/>
        <w:t xml:space="preserve">Forráspont/tartomány : nincs adat </w:t>
      </w:r>
    </w:p>
    <w:p>
      <w:pPr>
        <w:pStyle w:val="style0"/>
      </w:pPr>
      <w:r>
        <w:rPr/>
        <w:t xml:space="preserve">Olvadáspont/tartomány : nincs adat </w:t>
      </w:r>
    </w:p>
    <w:p>
      <w:pPr>
        <w:pStyle w:val="style0"/>
      </w:pPr>
      <w:r>
        <w:rPr/>
        <w:t xml:space="preserve">Lobbanás pont : 282°C </w:t>
      </w:r>
    </w:p>
    <w:p>
      <w:pPr>
        <w:pStyle w:val="style0"/>
      </w:pPr>
      <w:r>
        <w:rPr/>
        <w:t xml:space="preserve">Párolgási ráta : nincs adat </w:t>
      </w:r>
    </w:p>
    <w:p>
      <w:pPr>
        <w:pStyle w:val="style0"/>
      </w:pPr>
      <w:r>
        <w:rPr/>
        <w:t xml:space="preserve">Gőzsűrűség : nincs adat  </w:t>
      </w:r>
    </w:p>
    <w:p>
      <w:pPr>
        <w:pStyle w:val="style0"/>
      </w:pPr>
      <w:r>
        <w:rPr/>
        <w:t xml:space="preserve">Öngyulladás : 443°C </w:t>
      </w:r>
    </w:p>
    <w:p>
      <w:pPr>
        <w:pStyle w:val="style0"/>
      </w:pPr>
      <w:r>
        <w:rPr/>
        <w:t xml:space="preserve">Robbanékonysági jellemzők : nincs adat  </w:t>
      </w:r>
    </w:p>
    <w:p>
      <w:pPr>
        <w:pStyle w:val="style0"/>
      </w:pPr>
      <w:r>
        <w:rPr/>
        <w:t xml:space="preserve">Oxidálózási jellemzők : nincs adat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BIZTONSÁGI ADATLAP  </w:t>
      </w:r>
    </w:p>
    <w:p>
      <w:pPr>
        <w:pStyle w:val="style0"/>
      </w:pPr>
      <w:r>
        <w:rPr/>
        <w:t>SUPER SLICK'EM</w:t>
      </w:r>
    </w:p>
    <w:p>
      <w:pPr>
        <w:pStyle w:val="style0"/>
      </w:pPr>
      <w:r>
        <w:rPr/>
        <w:t xml:space="preserve"> </w:t>
      </w:r>
      <w:r>
        <w:rPr/>
        <w:t>3 . oldal</w:t>
      </w:r>
    </w:p>
    <w:p>
      <w:pPr>
        <w:pStyle w:val="style0"/>
      </w:pPr>
      <w:r>
        <w:rPr/>
        <w:t xml:space="preserve">Módosítási szám : 1 </w:t>
      </w:r>
    </w:p>
    <w:p>
      <w:pPr>
        <w:pStyle w:val="style0"/>
      </w:pPr>
      <w:r>
        <w:rPr/>
        <w:t xml:space="preserve">Dátum : 22/4/2008 </w:t>
      </w:r>
    </w:p>
    <w:p>
      <w:pPr>
        <w:pStyle w:val="style0"/>
      </w:pPr>
      <w:r>
        <w:rPr/>
        <w:t xml:space="preserve">Hatályát veszti : 0/0/0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9. FIZIKAI ÉS KÉMIAI JELLEMZŐK  (folytatás) </w:t>
      </w:r>
    </w:p>
    <w:p>
      <w:pPr>
        <w:pStyle w:val="style0"/>
      </w:pPr>
      <w:r>
        <w:rPr/>
        <w:t xml:space="preserve">Páranyomás : nincs adat  </w:t>
      </w:r>
    </w:p>
    <w:p>
      <w:pPr>
        <w:pStyle w:val="style0"/>
      </w:pPr>
      <w:r>
        <w:rPr/>
        <w:t>Vízben oldhatóság :  nem oldódó</w:t>
      </w:r>
    </w:p>
    <w:p>
      <w:pPr>
        <w:pStyle w:val="style0"/>
      </w:pPr>
      <w:r>
        <w:rPr/>
        <w:t xml:space="preserve">Viszkozitás : nincs adat  </w:t>
      </w:r>
    </w:p>
    <w:p>
      <w:pPr>
        <w:pStyle w:val="style0"/>
      </w:pPr>
      <w:r>
        <w:rPr/>
        <w:t xml:space="preserve">Elosztási együttható (n-oktanol/víz) : nincs adat  </w:t>
      </w:r>
    </w:p>
    <w:p>
      <w:pPr>
        <w:pStyle w:val="style0"/>
      </w:pPr>
      <w:r>
        <w:rPr/>
        <w:t xml:space="preserve">Sűrűség : 0,92 </w:t>
      </w:r>
    </w:p>
    <w:p>
      <w:pPr>
        <w:pStyle w:val="style0"/>
      </w:pPr>
      <w:r>
        <w:rPr/>
        <w:t xml:space="preserve">10. STABILITÁS ÉS REAKTIVITÁS  </w:t>
      </w:r>
    </w:p>
    <w:p>
      <w:pPr>
        <w:pStyle w:val="style0"/>
      </w:pPr>
      <w:r>
        <w:rPr/>
        <w:t xml:space="preserve">Stabilitás : normál körülmények mellett stabil </w:t>
      </w:r>
    </w:p>
    <w:p>
      <w:pPr>
        <w:pStyle w:val="style0"/>
      </w:pPr>
      <w:r>
        <w:rPr/>
        <w:t xml:space="preserve">Veszélyes bomlási termék : nincsen </w:t>
      </w:r>
    </w:p>
    <w:p>
      <w:pPr>
        <w:pStyle w:val="style0"/>
      </w:pPr>
      <w:r>
        <w:rPr/>
        <w:t xml:space="preserve">Elkerülendő anyagok : Nincsen </w:t>
      </w:r>
    </w:p>
    <w:p>
      <w:pPr>
        <w:pStyle w:val="style0"/>
      </w:pPr>
      <w:r>
        <w:rPr/>
        <w:t xml:space="preserve">Elkerülendő körülmények : Nincsen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11. TOXIKOLÓGIAI INFORMÁCIÓ </w:t>
      </w:r>
    </w:p>
    <w:p>
      <w:pPr>
        <w:pStyle w:val="style0"/>
      </w:pPr>
      <w:r>
        <w:rPr/>
        <w:t xml:space="preserve">Akut mérgezés </w:t>
      </w:r>
    </w:p>
    <w:p>
      <w:pPr>
        <w:pStyle w:val="style0"/>
      </w:pPr>
      <w:r>
        <w:rPr/>
        <w:t xml:space="preserve">: • Szójabab olaj : LD50/szájon át/egér : &gt; 2000 mg/kg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• </w:t>
      </w:r>
      <w:r>
        <w:rPr/>
        <w:t xml:space="preserve">Szójabab olaj : LD50/bőrön át/patkány : &gt; 4000 mg/kg </w:t>
      </w:r>
    </w:p>
    <w:p>
      <w:pPr>
        <w:pStyle w:val="style0"/>
      </w:pPr>
      <w:r>
        <w:rPr/>
        <w:t xml:space="preserve">Belélegzés : nincsen várható káros hatás </w:t>
      </w:r>
    </w:p>
    <w:p>
      <w:pPr>
        <w:pStyle w:val="style0"/>
      </w:pPr>
      <w:r>
        <w:rPr/>
        <w:t xml:space="preserve">Bőrrel való kapcsolat : nincsen várható káros hatás </w:t>
      </w:r>
    </w:p>
    <w:p>
      <w:pPr>
        <w:pStyle w:val="style0"/>
      </w:pPr>
      <w:r>
        <w:rPr/>
        <w:t xml:space="preserve">Szemmel való kapcsolat : nincsen várható káros hatás </w:t>
      </w:r>
    </w:p>
    <w:p>
      <w:pPr>
        <w:pStyle w:val="style0"/>
      </w:pPr>
      <w:r>
        <w:rPr/>
        <w:t xml:space="preserve">Lenyelés esetén : nincsen várható káros hatás </w:t>
      </w:r>
    </w:p>
    <w:p>
      <w:pPr>
        <w:pStyle w:val="style0"/>
      </w:pPr>
      <w:r>
        <w:rPr/>
        <w:t xml:space="preserve">Krónikus mérgezés : nincsen elérhető információ </w:t>
      </w:r>
    </w:p>
    <w:p>
      <w:pPr>
        <w:pStyle w:val="style0"/>
      </w:pPr>
      <w:r>
        <w:rPr/>
        <w:t>12. ÖKOLÓGIAI INFORMÁCIÓ</w:t>
      </w:r>
    </w:p>
    <w:p>
      <w:pPr>
        <w:pStyle w:val="style0"/>
      </w:pPr>
      <w:r>
        <w:rPr/>
        <w:t xml:space="preserve">Biológiai felhalmozódás : nincsen adat a termékről  </w:t>
      </w:r>
    </w:p>
    <w:p>
      <w:pPr>
        <w:pStyle w:val="style0"/>
      </w:pPr>
      <w:r>
        <w:rPr/>
        <w:t xml:space="preserve">Ökológiai mérgezési hatás : nem veszélyes  </w:t>
      </w:r>
    </w:p>
    <w:p>
      <w:pPr>
        <w:pStyle w:val="style0"/>
      </w:pPr>
      <w:r>
        <w:rPr/>
        <w:t xml:space="preserve">Mobilitás : nem oldódó  </w:t>
      </w:r>
    </w:p>
    <w:p>
      <w:pPr>
        <w:pStyle w:val="style0"/>
      </w:pPr>
      <w:r>
        <w:rPr/>
        <w:t xml:space="preserve">Állandóság és lebomlás : természeténél fogva biológiailag lebomlik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13. MENTESÍTÉSI SZEMPONTOK </w:t>
      </w:r>
    </w:p>
    <w:p>
      <w:pPr>
        <w:pStyle w:val="style0"/>
      </w:pPr>
      <w:r>
        <w:rPr/>
        <w:t xml:space="preserve">Hulladék visszamaradt anyagokból  : Mentesítés a helyi rendelkezéseknek megfelelően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Hulladék rendelkezések (2001/573/EC, 75/442/ : A következő hulladék rendelkezések csak javaslatok: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EEC, 91/689/EEC)  13 02 07 – azonnal bomló motor, vezérlőmű és kenőolajok </w:t>
      </w:r>
    </w:p>
    <w:p>
      <w:pPr>
        <w:pStyle w:val="style0"/>
      </w:pPr>
      <w:r>
        <w:rPr/>
        <w:t xml:space="preserve">A hulladék rendelkezéseket a használó nevezi meg, lehetőleg a helyi hulladékmegsemmisítési hatóságokkal egyeztetve. </w:t>
      </w:r>
    </w:p>
    <w:p>
      <w:pPr>
        <w:pStyle w:val="style0"/>
      </w:pPr>
      <w:r>
        <w:rPr/>
      </w:r>
    </w:p>
    <w:p>
      <w:pPr>
        <w:pStyle w:val="style0"/>
      </w:pPr>
      <w:r>
        <w:rPr/>
        <w:t>14. SZÁLLÍTÁSI INFORMÁCIÓ</w:t>
      </w:r>
    </w:p>
    <w:p>
      <w:pPr>
        <w:pStyle w:val="style0"/>
      </w:pPr>
      <w:r>
        <w:rPr/>
        <w:t>ADR/RID : nem veszélyes a szállítási szabályok értelmében</w:t>
      </w:r>
    </w:p>
    <w:p>
      <w:pPr>
        <w:pStyle w:val="style0"/>
      </w:pPr>
      <w:r>
        <w:rPr/>
        <w:t>IMDG : nem veszélyes a szállítási szabályok értelmében</w:t>
      </w:r>
    </w:p>
    <w:p>
      <w:pPr>
        <w:pStyle w:val="style0"/>
      </w:pPr>
      <w:r>
        <w:rPr/>
        <w:t>ICAO/IATA : nem veszélyes a szállítási szabályok értelmében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15. SZABÁLYOZÁSI INFORMÁCIÓ </w:t>
      </w:r>
    </w:p>
    <w:p>
      <w:pPr>
        <w:pStyle w:val="style0"/>
      </w:pPr>
      <w:r>
        <w:rPr/>
        <w:t xml:space="preserve">Címkézés : a termék a 1999/45/EC Irányelv értelmében nem veszélyes. </w:t>
      </w:r>
    </w:p>
    <w:p>
      <w:pPr>
        <w:pStyle w:val="style0"/>
      </w:pPr>
      <w:r>
        <w:rPr/>
        <w:t xml:space="preserve">Jelzések :  - </w:t>
      </w:r>
    </w:p>
    <w:p>
      <w:pPr>
        <w:pStyle w:val="style0"/>
      </w:pPr>
      <w:r>
        <w:rPr/>
        <w:t>R-mondatok: -</w:t>
      </w:r>
    </w:p>
    <w:p>
      <w:pPr>
        <w:pStyle w:val="style0"/>
      </w:pPr>
      <w:r>
        <w:rPr/>
        <w:t>S-mondatok: -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BIZTONSÁGI ADATLAP  </w:t>
      </w:r>
    </w:p>
    <w:p>
      <w:pPr>
        <w:pStyle w:val="style0"/>
      </w:pPr>
      <w:r>
        <w:rPr/>
        <w:t>SUPER SLICK'EM</w:t>
      </w:r>
    </w:p>
    <w:p>
      <w:pPr>
        <w:pStyle w:val="style0"/>
      </w:pPr>
      <w:r>
        <w:rPr/>
        <w:t xml:space="preserve"> </w:t>
      </w:r>
      <w:r>
        <w:rPr/>
        <w:t>4 . oldal</w:t>
      </w:r>
    </w:p>
    <w:p>
      <w:pPr>
        <w:pStyle w:val="style0"/>
      </w:pPr>
      <w:r>
        <w:rPr/>
        <w:t xml:space="preserve">Módosítási szám : 1 </w:t>
      </w:r>
    </w:p>
    <w:p>
      <w:pPr>
        <w:pStyle w:val="style0"/>
      </w:pPr>
      <w:r>
        <w:rPr/>
        <w:t xml:space="preserve">Dátum : 22/4/2008 </w:t>
      </w:r>
    </w:p>
    <w:p>
      <w:pPr>
        <w:pStyle w:val="style0"/>
      </w:pPr>
      <w:r>
        <w:rPr/>
        <w:t xml:space="preserve">Hatályát veszti : 0/0/0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15. SZABÁLYOZÁSI INFORMÁCIÓ (folytatás)</w:t>
      </w:r>
    </w:p>
    <w:p>
      <w:pPr>
        <w:pStyle w:val="style0"/>
      </w:pPr>
      <w:r>
        <w:rPr/>
        <w:t xml:space="preserve">WGK :  1 </w:t>
      </w:r>
    </w:p>
    <w:p>
      <w:pPr>
        <w:pStyle w:val="style0"/>
      </w:pPr>
      <w:r>
        <w:rPr/>
      </w:r>
    </w:p>
    <w:p>
      <w:pPr>
        <w:pStyle w:val="style0"/>
      </w:pPr>
      <w:r>
        <w:rPr/>
        <w:t>16. EGYÉB INFORMÁCIÓ</w:t>
      </w:r>
    </w:p>
    <w:p>
      <w:pPr>
        <w:pStyle w:val="style0"/>
      </w:pPr>
      <w:r>
        <w:rPr/>
        <w:t xml:space="preserve">Az adatlap összeállításához használt kulcsadatok : European Chemicals Bureau </w:t>
      </w:r>
    </w:p>
    <w:p>
      <w:pPr>
        <w:pStyle w:val="style0"/>
      </w:pPr>
      <w:r>
        <w:rPr/>
        <w:t xml:space="preserve">                                                                                </w:t>
      </w:r>
      <w:r>
        <w:rPr/>
        <w:t xml:space="preserve">MSDS Gaither Europe BV - SUPER SLICK'EM (Form OSHA-20)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A jelen Biztonsági adatlap tartalma és formátuma megfelel az Európai Bizottság 1999/45/EC, 1967/548/EC Irányelvének és az Európai Bizottság Szabályozásának 1907/2006/EC (REACH)  II. Függelék</w:t>
      </w:r>
    </w:p>
    <w:p>
      <w:pPr>
        <w:pStyle w:val="style0"/>
      </w:pPr>
      <w:r>
        <w:rPr/>
      </w:r>
    </w:p>
    <w:p>
      <w:pPr>
        <w:pStyle w:val="style0"/>
      </w:pPr>
      <w:r>
        <w:rPr/>
        <w:t>FELELŐSSÉG ELHÁRÍTÁSA  A jelen Biztonsági adatlap információi megbízhatónak vélt forrásból származnak. Azonban a közölt információ helyességére, nyílt vagy vélt, garancia nincsen biztosítva. A kezelés, tárolás, használat, mentesítés körülményei és módszerei hatáskörünkön kívül esnek, és meghaladhatják tudásunkat. Ezen ok miatt nem vállalunk felelősséget, és elhárítjuk a felelősséget olyan veszteségért, kárért vagy költségért, amely összefügg a kezeléssel, tárolással, használattal vagy mentesítéssel. Az Adatlap kizárólag erre a termére készült, és így használatos. Ha  a termék más termékkel együtt kerül felhasználásra, az Adatlap információi nem feltétlenül érvényesek.</w:t>
      </w:r>
    </w:p>
    <w:p>
      <w:pPr>
        <w:pStyle w:val="style0"/>
      </w:pPr>
      <w:r>
        <w:rPr/>
        <w:t>Dokumentum vége.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Szövegtörzs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2012-04-22T07:39:00.00Z</dcterms:created>
  <dc:creator>Lilla</dc:creator>
  <cp:lastModifiedBy>.</cp:lastModifiedBy>
  <dcterms:modified xsi:type="dcterms:W3CDTF">2012-04-23T20:35:00.00Z</dcterms:modified>
  <cp:revision>42</cp:revision>
</cp:coreProperties>
</file>